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51" w:rsidRDefault="001A32E0" w:rsidP="007E1D51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1A32E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-409575</wp:posOffset>
            </wp:positionV>
            <wp:extent cx="6477000" cy="1295400"/>
            <wp:effectExtent l="0" t="0" r="0" b="0"/>
            <wp:wrapSquare wrapText="bothSides"/>
            <wp:docPr id="10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FA8" w:rsidRPr="00A95D40" w:rsidRDefault="00B56D58" w:rsidP="007E1D51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SORTPO Policy Board</w:t>
      </w:r>
    </w:p>
    <w:p w:rsidR="00A86FA8" w:rsidRPr="0094073C" w:rsidRDefault="00A86FA8" w:rsidP="00B64F9A">
      <w:pPr>
        <w:pStyle w:val="Heading1"/>
        <w:spacing w:before="0"/>
        <w:rPr>
          <w:rFonts w:asciiTheme="majorHAnsi" w:hAnsiTheme="majorHAnsi"/>
          <w:sz w:val="22"/>
          <w:szCs w:val="22"/>
        </w:rPr>
      </w:pPr>
      <w:r w:rsidRPr="00A95D40">
        <w:rPr>
          <w:rFonts w:asciiTheme="majorHAnsi" w:hAnsiTheme="majorHAnsi"/>
          <w:sz w:val="36"/>
          <w:szCs w:val="36"/>
        </w:rPr>
        <w:t>Meeting Agenda</w:t>
      </w:r>
    </w:p>
    <w:p w:rsidR="007E1D51" w:rsidRPr="007E1D51" w:rsidRDefault="007E1D51" w:rsidP="007E1D51">
      <w:pPr>
        <w:spacing w:after="0"/>
      </w:pPr>
    </w:p>
    <w:p w:rsidR="00A95D40" w:rsidRPr="00A95D40" w:rsidRDefault="00A95D40" w:rsidP="00A86FA8">
      <w:pPr>
        <w:pStyle w:val="Date"/>
        <w:rPr>
          <w:rFonts w:asciiTheme="majorHAnsi" w:hAnsiTheme="majorHAnsi"/>
        </w:rPr>
      </w:pPr>
      <w:r w:rsidRPr="00A95D40">
        <w:rPr>
          <w:rFonts w:asciiTheme="majorHAnsi" w:hAnsiTheme="majorHAnsi"/>
        </w:rPr>
        <w:t>Western Technology Center</w:t>
      </w:r>
    </w:p>
    <w:p w:rsidR="00A95D40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Adult Education Bldg 621 Sooner Dr.</w:t>
      </w:r>
    </w:p>
    <w:p w:rsidR="00A86FA8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Bur</w:t>
      </w:r>
      <w:r w:rsidR="00A86FA8" w:rsidRPr="00A95D40">
        <w:rPr>
          <w:rFonts w:asciiTheme="majorHAnsi" w:hAnsiTheme="majorHAnsi"/>
          <w:sz w:val="24"/>
          <w:szCs w:val="24"/>
        </w:rPr>
        <w:t>ns Flat, OK  73624</w:t>
      </w:r>
    </w:p>
    <w:p w:rsidR="00A95D40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&amp;</w:t>
      </w:r>
    </w:p>
    <w:p w:rsidR="00A95D40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Red River Technology Center</w:t>
      </w:r>
    </w:p>
    <w:p w:rsidR="00A95D40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JDM Business Center, Rm B113</w:t>
      </w:r>
    </w:p>
    <w:p w:rsidR="00A95D40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3300 W. Bois D’Arc</w:t>
      </w:r>
    </w:p>
    <w:p w:rsidR="00A95D40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Duncan, OK 73533</w:t>
      </w:r>
    </w:p>
    <w:p w:rsidR="00A95D40" w:rsidRPr="0094073C" w:rsidRDefault="00A95D40" w:rsidP="007E1D51">
      <w:pPr>
        <w:spacing w:after="0"/>
        <w:rPr>
          <w:rFonts w:asciiTheme="majorHAnsi" w:hAnsiTheme="majorHAnsi"/>
        </w:rPr>
      </w:pPr>
    </w:p>
    <w:p w:rsidR="00187FB9" w:rsidRDefault="00B56D58" w:rsidP="007E1D51">
      <w:pPr>
        <w:pStyle w:val="Time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January 26</w:t>
      </w:r>
      <w:r w:rsidR="00EE0E4F">
        <w:rPr>
          <w:rFonts w:asciiTheme="majorHAnsi" w:hAnsiTheme="majorHAnsi"/>
        </w:rPr>
        <w:t>, 2017 10:30</w:t>
      </w:r>
      <w:r w:rsidR="00A86FA8" w:rsidRPr="007E1D51">
        <w:rPr>
          <w:rFonts w:asciiTheme="majorHAnsi" w:hAnsiTheme="majorHAnsi"/>
        </w:rPr>
        <w:t xml:space="preserve"> a.m.</w:t>
      </w:r>
    </w:p>
    <w:p w:rsidR="007E1D51" w:rsidRPr="007E1D51" w:rsidRDefault="007E1D51" w:rsidP="007E1D51"/>
    <w:p w:rsidR="00A86FA8" w:rsidRPr="00F36573" w:rsidRDefault="00A86FA8" w:rsidP="00B079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573">
        <w:rPr>
          <w:rFonts w:ascii="Times New Roman" w:hAnsi="Times New Roman"/>
          <w:sz w:val="24"/>
          <w:szCs w:val="24"/>
        </w:rPr>
        <w:t>Call to Order</w:t>
      </w:r>
    </w:p>
    <w:p w:rsidR="00A86FA8" w:rsidRPr="00F36573" w:rsidRDefault="00A86FA8" w:rsidP="00B079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573">
        <w:rPr>
          <w:rFonts w:ascii="Times New Roman" w:hAnsi="Times New Roman"/>
          <w:sz w:val="24"/>
          <w:szCs w:val="24"/>
        </w:rPr>
        <w:t xml:space="preserve">Roll Call – </w:t>
      </w:r>
      <w:r>
        <w:rPr>
          <w:rFonts w:ascii="Times New Roman" w:hAnsi="Times New Roman"/>
          <w:sz w:val="24"/>
          <w:szCs w:val="24"/>
        </w:rPr>
        <w:t>Introductions</w:t>
      </w:r>
    </w:p>
    <w:p w:rsidR="00B0793C" w:rsidRPr="003507E5" w:rsidRDefault="00A86FA8" w:rsidP="0094073C">
      <w:pPr>
        <w:numPr>
          <w:ilvl w:val="0"/>
          <w:numId w:val="4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07E5">
        <w:rPr>
          <w:rFonts w:ascii="Times New Roman" w:hAnsi="Times New Roman"/>
          <w:sz w:val="24"/>
          <w:szCs w:val="24"/>
        </w:rPr>
        <w:t xml:space="preserve">Approval of the minutes for </w:t>
      </w:r>
      <w:r w:rsidR="00B247CC" w:rsidRPr="003507E5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24096E" w:rsidRPr="003507E5">
        <w:rPr>
          <w:rFonts w:ascii="Times New Roman" w:hAnsi="Times New Roman"/>
          <w:color w:val="000000"/>
          <w:sz w:val="24"/>
          <w:szCs w:val="24"/>
        </w:rPr>
        <w:t>December 8, 2016</w:t>
      </w:r>
      <w:r w:rsidRPr="003507E5">
        <w:rPr>
          <w:rFonts w:ascii="Times New Roman" w:hAnsi="Times New Roman"/>
          <w:color w:val="000000"/>
          <w:sz w:val="24"/>
          <w:szCs w:val="24"/>
        </w:rPr>
        <w:t xml:space="preserve"> meeting.</w:t>
      </w:r>
    </w:p>
    <w:p w:rsidR="003507E5" w:rsidRDefault="00DD098F" w:rsidP="001A32E0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</w:t>
      </w:r>
      <w:r w:rsidR="00350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County </w:t>
      </w:r>
      <w:r w:rsidR="003507E5">
        <w:rPr>
          <w:rFonts w:ascii="Times New Roman" w:hAnsi="Times New Roman"/>
          <w:sz w:val="24"/>
          <w:szCs w:val="24"/>
        </w:rPr>
        <w:t xml:space="preserve">stakeholders meeting schedule </w:t>
      </w:r>
    </w:p>
    <w:tbl>
      <w:tblPr>
        <w:tblStyle w:val="TableGrid"/>
        <w:tblW w:w="9000" w:type="dxa"/>
        <w:tblInd w:w="648" w:type="dxa"/>
        <w:tblLook w:val="04A0"/>
      </w:tblPr>
      <w:tblGrid>
        <w:gridCol w:w="1096"/>
        <w:gridCol w:w="2504"/>
        <w:gridCol w:w="5400"/>
      </w:tblGrid>
      <w:tr w:rsidR="00DD098F" w:rsidTr="0094073C">
        <w:trPr>
          <w:tblHeader/>
        </w:trPr>
        <w:tc>
          <w:tcPr>
            <w:tcW w:w="1096" w:type="dxa"/>
          </w:tcPr>
          <w:p w:rsidR="00DD098F" w:rsidRDefault="00DD098F" w:rsidP="00DD098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D098F" w:rsidRPr="000C3C1B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Stakeholder Meeting Date &amp; Time</w:t>
            </w:r>
          </w:p>
        </w:tc>
        <w:tc>
          <w:tcPr>
            <w:tcW w:w="5400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Meeting Location</w:t>
            </w:r>
          </w:p>
        </w:tc>
      </w:tr>
      <w:tr w:rsidR="00DD098F" w:rsidTr="0094073C">
        <w:tc>
          <w:tcPr>
            <w:tcW w:w="1096" w:type="dxa"/>
          </w:tcPr>
          <w:p w:rsidR="00DD098F" w:rsidRDefault="00DD098F" w:rsidP="00DD098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Cotton</w:t>
            </w:r>
          </w:p>
        </w:tc>
        <w:tc>
          <w:tcPr>
            <w:tcW w:w="2504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2/15; 1:30p</w:t>
            </w:r>
          </w:p>
        </w:tc>
        <w:tc>
          <w:tcPr>
            <w:tcW w:w="5400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Cotton Electric Civic Room (to be confirmed)</w:t>
            </w:r>
          </w:p>
        </w:tc>
      </w:tr>
      <w:tr w:rsidR="00DD098F" w:rsidTr="0094073C">
        <w:trPr>
          <w:trHeight w:val="638"/>
        </w:trPr>
        <w:tc>
          <w:tcPr>
            <w:tcW w:w="1096" w:type="dxa"/>
          </w:tcPr>
          <w:p w:rsidR="00DD098F" w:rsidRDefault="00DD098F" w:rsidP="00DD098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Greer</w:t>
            </w:r>
          </w:p>
        </w:tc>
        <w:tc>
          <w:tcPr>
            <w:tcW w:w="2504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2/9; 9:00a</w:t>
            </w:r>
          </w:p>
        </w:tc>
        <w:tc>
          <w:tcPr>
            <w:tcW w:w="5400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Mangum Chamber of Commerce</w:t>
            </w:r>
          </w:p>
          <w:p w:rsidR="00DD098F" w:rsidRDefault="00DD098F" w:rsidP="009407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 E. Jefferson St.</w:t>
            </w:r>
          </w:p>
        </w:tc>
      </w:tr>
      <w:tr w:rsidR="00DD098F" w:rsidTr="0094073C">
        <w:tc>
          <w:tcPr>
            <w:tcW w:w="1096" w:type="dxa"/>
          </w:tcPr>
          <w:p w:rsidR="00DD098F" w:rsidRDefault="00DD098F" w:rsidP="00DD098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Harmon</w:t>
            </w:r>
          </w:p>
        </w:tc>
        <w:tc>
          <w:tcPr>
            <w:tcW w:w="2504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2/9; 1:00p</w:t>
            </w:r>
          </w:p>
        </w:tc>
        <w:tc>
          <w:tcPr>
            <w:tcW w:w="5400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Hollis City Hall</w:t>
            </w:r>
          </w:p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 W. Jones St.</w:t>
            </w:r>
          </w:p>
        </w:tc>
      </w:tr>
      <w:tr w:rsidR="00DD098F" w:rsidTr="0094073C">
        <w:tc>
          <w:tcPr>
            <w:tcW w:w="1096" w:type="dxa"/>
          </w:tcPr>
          <w:p w:rsidR="00DD098F" w:rsidRDefault="00DD098F" w:rsidP="00DD098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Jackson</w:t>
            </w:r>
          </w:p>
        </w:tc>
        <w:tc>
          <w:tcPr>
            <w:tcW w:w="2504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be scheduled</w:t>
            </w:r>
          </w:p>
        </w:tc>
        <w:tc>
          <w:tcPr>
            <w:tcW w:w="5400" w:type="dxa"/>
          </w:tcPr>
          <w:p w:rsidR="00DD098F" w:rsidRDefault="0094073C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be determined</w:t>
            </w:r>
          </w:p>
        </w:tc>
      </w:tr>
      <w:tr w:rsidR="00DD098F" w:rsidTr="0094073C">
        <w:tc>
          <w:tcPr>
            <w:tcW w:w="1096" w:type="dxa"/>
          </w:tcPr>
          <w:p w:rsidR="00DD098F" w:rsidRDefault="00DD098F" w:rsidP="00DD098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Jefferson</w:t>
            </w:r>
          </w:p>
        </w:tc>
        <w:tc>
          <w:tcPr>
            <w:tcW w:w="2504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2/21; 9:30a</w:t>
            </w:r>
          </w:p>
        </w:tc>
        <w:tc>
          <w:tcPr>
            <w:tcW w:w="5400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Waurika to be determined</w:t>
            </w:r>
          </w:p>
        </w:tc>
      </w:tr>
      <w:tr w:rsidR="00DD098F" w:rsidTr="0094073C">
        <w:tc>
          <w:tcPr>
            <w:tcW w:w="1096" w:type="dxa"/>
          </w:tcPr>
          <w:p w:rsidR="00DD098F" w:rsidRDefault="00DD098F" w:rsidP="00DD098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Stephens</w:t>
            </w:r>
          </w:p>
        </w:tc>
        <w:tc>
          <w:tcPr>
            <w:tcW w:w="2504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2/21; 1:30p</w:t>
            </w:r>
          </w:p>
        </w:tc>
        <w:tc>
          <w:tcPr>
            <w:tcW w:w="5400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Red River Technology Center </w:t>
            </w:r>
            <w:r w:rsidR="004F35F6">
              <w:rPr>
                <w:rFonts w:ascii="Times New Roman" w:hAnsi="Times New Roman"/>
                <w:sz w:val="24"/>
                <w:szCs w:val="24"/>
              </w:rPr>
              <w:t>JDM Business Center 3300 W. Bois D’Arc</w:t>
            </w:r>
          </w:p>
          <w:p w:rsidR="004F35F6" w:rsidRDefault="004F35F6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Duncan,</w:t>
            </w:r>
            <w:r w:rsidR="00940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  <w:tr w:rsidR="00DD098F" w:rsidTr="0094073C">
        <w:tc>
          <w:tcPr>
            <w:tcW w:w="1096" w:type="dxa"/>
          </w:tcPr>
          <w:p w:rsidR="00DD098F" w:rsidRDefault="00DD098F" w:rsidP="00DD098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Tillman</w:t>
            </w:r>
          </w:p>
        </w:tc>
        <w:tc>
          <w:tcPr>
            <w:tcW w:w="2504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2/15; 9:00a</w:t>
            </w:r>
          </w:p>
        </w:tc>
        <w:tc>
          <w:tcPr>
            <w:tcW w:w="5400" w:type="dxa"/>
          </w:tcPr>
          <w:p w:rsidR="0094073C" w:rsidRDefault="004F35F6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Great Plains Technology Center Tillman/Kiowa Campus 2001 E. Gladstone Ave. </w:t>
            </w:r>
            <w:r w:rsidR="0094073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D098F" w:rsidRDefault="004F35F6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Frederick,</w:t>
            </w:r>
            <w:r w:rsidR="00E10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</w:tbl>
    <w:p w:rsidR="0094073C" w:rsidRDefault="0094073C" w:rsidP="0094073C">
      <w:pPr>
        <w:pStyle w:val="ListParagraph"/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0C3C1B" w:rsidRDefault="003507E5" w:rsidP="001A32E0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59B">
        <w:rPr>
          <w:rFonts w:ascii="Times New Roman" w:hAnsi="Times New Roman"/>
          <w:sz w:val="24"/>
          <w:szCs w:val="24"/>
        </w:rPr>
        <w:t>Discuss and provide direction to staff in collection of da</w:t>
      </w:r>
      <w:r w:rsidR="0045459B" w:rsidRPr="0045459B">
        <w:rPr>
          <w:rFonts w:ascii="Times New Roman" w:hAnsi="Times New Roman"/>
          <w:sz w:val="24"/>
          <w:szCs w:val="24"/>
        </w:rPr>
        <w:t xml:space="preserve">ta, identification of key issues-concerns, trends and the role of public participation in </w:t>
      </w:r>
      <w:r w:rsidR="0045459B">
        <w:rPr>
          <w:rFonts w:ascii="Times New Roman" w:hAnsi="Times New Roman"/>
          <w:sz w:val="24"/>
          <w:szCs w:val="24"/>
        </w:rPr>
        <w:t>the Transportation Planning Process.</w:t>
      </w:r>
    </w:p>
    <w:p w:rsidR="0045459B" w:rsidRPr="0045459B" w:rsidRDefault="0045459B" w:rsidP="0045459B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FA8" w:rsidRDefault="00A86FA8" w:rsidP="001A32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59B">
        <w:rPr>
          <w:rFonts w:ascii="Times New Roman" w:hAnsi="Times New Roman"/>
          <w:sz w:val="24"/>
          <w:szCs w:val="24"/>
        </w:rPr>
        <w:t>New Business</w:t>
      </w:r>
    </w:p>
    <w:p w:rsidR="00A86FA8" w:rsidRDefault="00A86FA8" w:rsidP="001A32E0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A86FA8" w:rsidRDefault="00A86FA8" w:rsidP="001A32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 and Comments</w:t>
      </w:r>
    </w:p>
    <w:p w:rsidR="0045459B" w:rsidRDefault="0045459B" w:rsidP="0045459B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Technical Committee Meetin</w:t>
      </w:r>
      <w:r w:rsidR="00654C92"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z w:val="24"/>
          <w:szCs w:val="24"/>
        </w:rPr>
        <w:t xml:space="preserve">1-19-17 </w:t>
      </w:r>
    </w:p>
    <w:p w:rsidR="0045459B" w:rsidRDefault="0045459B" w:rsidP="0045459B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meeting date in February 2017</w:t>
      </w:r>
    </w:p>
    <w:p w:rsidR="0045459B" w:rsidRDefault="0045459B" w:rsidP="004F35F6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A86FA8" w:rsidRPr="004C0A51" w:rsidRDefault="00A86FA8" w:rsidP="001A32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:rsidR="00A86FA8" w:rsidRPr="00F36573" w:rsidRDefault="00A86FA8" w:rsidP="001A32E0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A86FA8" w:rsidRDefault="00A86FA8" w:rsidP="001A32E0">
      <w:pPr>
        <w:jc w:val="both"/>
      </w:pPr>
    </w:p>
    <w:sectPr w:rsidR="00A86FA8" w:rsidSect="0094073C">
      <w:footerReference w:type="default" r:id="rId9"/>
      <w:footerReference w:type="first" r:id="rId10"/>
      <w:pgSz w:w="12240" w:h="15840"/>
      <w:pgMar w:top="1440" w:right="1008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49" w:rsidRDefault="00E10049" w:rsidP="009119DF">
      <w:pPr>
        <w:spacing w:after="0" w:line="240" w:lineRule="auto"/>
      </w:pPr>
      <w:r>
        <w:separator/>
      </w:r>
    </w:p>
  </w:endnote>
  <w:endnote w:type="continuationSeparator" w:id="0">
    <w:p w:rsidR="00E10049" w:rsidRDefault="00E10049" w:rsidP="009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49" w:rsidRPr="00E41D84" w:rsidRDefault="00E10049" w:rsidP="0094073C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Notice of this meeting</w:t>
    </w:r>
    <w:r w:rsidRPr="00E41D84">
      <w:rPr>
        <w:rFonts w:ascii="Times New Roman" w:hAnsi="Times New Roman"/>
      </w:rPr>
      <w:t xml:space="preserve"> was</w:t>
    </w:r>
    <w:r>
      <w:rPr>
        <w:rFonts w:ascii="Times New Roman" w:hAnsi="Times New Roman"/>
      </w:rPr>
      <w:t xml:space="preserve"> </w:t>
    </w:r>
    <w:r w:rsidRPr="00E41D84">
      <w:rPr>
        <w:rFonts w:ascii="Times New Roman" w:hAnsi="Times New Roman"/>
      </w:rPr>
      <w:t xml:space="preserve">displayed on the front door of the SWODA office at 420 Sooner Drive, Burns Flat, OK </w:t>
    </w:r>
    <w:r>
      <w:rPr>
        <w:rFonts w:ascii="Times New Roman" w:hAnsi="Times New Roman"/>
      </w:rPr>
      <w:t xml:space="preserve">and ASCOG Office at 802 W. Main St., Duncan, OK </w:t>
    </w:r>
    <w:r w:rsidRPr="00E41D84">
      <w:rPr>
        <w:rFonts w:ascii="Times New Roman" w:hAnsi="Times New Roman"/>
      </w:rPr>
      <w:t xml:space="preserve">on or before </w:t>
    </w:r>
    <w:r>
      <w:rPr>
        <w:rFonts w:ascii="Times New Roman" w:hAnsi="Times New Roman"/>
      </w:rPr>
      <w:t>January 24, 2017</w:t>
    </w:r>
    <w:r w:rsidRPr="00E41D84">
      <w:rPr>
        <w:rFonts w:ascii="Times New Roman" w:hAnsi="Times New Roman"/>
      </w:rPr>
      <w:t>, at 8:00 a.m.</w:t>
    </w:r>
  </w:p>
  <w:p w:rsidR="00E10049" w:rsidRDefault="00E100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49" w:rsidRPr="00E41D84" w:rsidRDefault="00E10049" w:rsidP="0094073C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Notice of this meeting</w:t>
    </w:r>
    <w:r w:rsidRPr="00E41D84">
      <w:rPr>
        <w:rFonts w:ascii="Times New Roman" w:hAnsi="Times New Roman"/>
      </w:rPr>
      <w:t xml:space="preserve"> was</w:t>
    </w:r>
    <w:r>
      <w:rPr>
        <w:rFonts w:ascii="Times New Roman" w:hAnsi="Times New Roman"/>
      </w:rPr>
      <w:t xml:space="preserve"> </w:t>
    </w:r>
    <w:r w:rsidRPr="00E41D84">
      <w:rPr>
        <w:rFonts w:ascii="Times New Roman" w:hAnsi="Times New Roman"/>
      </w:rPr>
      <w:t xml:space="preserve">displayed on the front door of the SWODA office at 420 Sooner Drive, Burns Flat, OK </w:t>
    </w:r>
    <w:r>
      <w:rPr>
        <w:rFonts w:ascii="Times New Roman" w:hAnsi="Times New Roman"/>
      </w:rPr>
      <w:t xml:space="preserve">and ASCOG Office at 802 W. Main St., Duncan, OK </w:t>
    </w:r>
    <w:r w:rsidRPr="00E41D84">
      <w:rPr>
        <w:rFonts w:ascii="Times New Roman" w:hAnsi="Times New Roman"/>
      </w:rPr>
      <w:t xml:space="preserve">on or before </w:t>
    </w:r>
    <w:r>
      <w:rPr>
        <w:rFonts w:ascii="Times New Roman" w:hAnsi="Times New Roman"/>
      </w:rPr>
      <w:t>January 24, 2017</w:t>
    </w:r>
    <w:r w:rsidRPr="00E41D84">
      <w:rPr>
        <w:rFonts w:ascii="Times New Roman" w:hAnsi="Times New Roman"/>
      </w:rPr>
      <w:t>, at 8:00 a.m.</w:t>
    </w:r>
  </w:p>
  <w:p w:rsidR="00E10049" w:rsidRDefault="00E100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49" w:rsidRDefault="00E10049" w:rsidP="009119DF">
      <w:pPr>
        <w:spacing w:after="0" w:line="240" w:lineRule="auto"/>
      </w:pPr>
      <w:r>
        <w:separator/>
      </w:r>
    </w:p>
  </w:footnote>
  <w:footnote w:type="continuationSeparator" w:id="0">
    <w:p w:rsidR="00E10049" w:rsidRDefault="00E10049" w:rsidP="0091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B323FD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13851543"/>
    <w:multiLevelType w:val="hybridMultilevel"/>
    <w:tmpl w:val="B0CE4086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612D0"/>
    <w:multiLevelType w:val="hybridMultilevel"/>
    <w:tmpl w:val="1562AA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50814"/>
    <w:multiLevelType w:val="hybridMultilevel"/>
    <w:tmpl w:val="D6A887E0"/>
    <w:lvl w:ilvl="0" w:tplc="23FE1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D08BE"/>
    <w:multiLevelType w:val="hybridMultilevel"/>
    <w:tmpl w:val="FE000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9732EE"/>
    <w:multiLevelType w:val="hybridMultilevel"/>
    <w:tmpl w:val="42866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F9228D"/>
    <w:multiLevelType w:val="hybridMultilevel"/>
    <w:tmpl w:val="10E47D7C"/>
    <w:lvl w:ilvl="0" w:tplc="8856CCA2">
      <w:start w:val="1"/>
      <w:numFmt w:val="low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>
    <w:nsid w:val="40BD4FD1"/>
    <w:multiLevelType w:val="hybridMultilevel"/>
    <w:tmpl w:val="9CB2C74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1534478"/>
    <w:multiLevelType w:val="hybridMultilevel"/>
    <w:tmpl w:val="A1DACB98"/>
    <w:lvl w:ilvl="0" w:tplc="DA36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1F0A9E"/>
    <w:multiLevelType w:val="hybridMultilevel"/>
    <w:tmpl w:val="356E1478"/>
    <w:lvl w:ilvl="0" w:tplc="359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A24327"/>
    <w:multiLevelType w:val="hybridMultilevel"/>
    <w:tmpl w:val="7578019E"/>
    <w:lvl w:ilvl="0" w:tplc="7B888BF2">
      <w:start w:val="1"/>
      <w:numFmt w:val="lowerLetter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A066DB6"/>
    <w:multiLevelType w:val="hybridMultilevel"/>
    <w:tmpl w:val="F210EA42"/>
    <w:lvl w:ilvl="0" w:tplc="262E33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270AE4"/>
    <w:multiLevelType w:val="hybridMultilevel"/>
    <w:tmpl w:val="9F028A86"/>
    <w:lvl w:ilvl="0" w:tplc="AE5EC25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2754D9"/>
    <w:multiLevelType w:val="hybridMultilevel"/>
    <w:tmpl w:val="93CC85EA"/>
    <w:lvl w:ilvl="0" w:tplc="BF0A7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F3743A6"/>
    <w:multiLevelType w:val="hybridMultilevel"/>
    <w:tmpl w:val="09F0BA3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13"/>
  </w:num>
  <w:num w:numId="6">
    <w:abstractNumId w:val="4"/>
  </w:num>
  <w:num w:numId="7">
    <w:abstractNumId w:val="14"/>
  </w:num>
  <w:num w:numId="8">
    <w:abstractNumId w:val="8"/>
  </w:num>
  <w:num w:numId="9">
    <w:abstractNumId w:val="12"/>
  </w:num>
  <w:num w:numId="10">
    <w:abstractNumId w:val="15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  <w:num w:numId="15">
    <w:abstractNumId w:val="6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D4"/>
    <w:rsid w:val="000012C0"/>
    <w:rsid w:val="00001891"/>
    <w:rsid w:val="000024D0"/>
    <w:rsid w:val="00025DF4"/>
    <w:rsid w:val="00030E5E"/>
    <w:rsid w:val="00033CDF"/>
    <w:rsid w:val="00061F2D"/>
    <w:rsid w:val="000806CC"/>
    <w:rsid w:val="00097638"/>
    <w:rsid w:val="000A2B4B"/>
    <w:rsid w:val="000A4152"/>
    <w:rsid w:val="000B2994"/>
    <w:rsid w:val="000B357F"/>
    <w:rsid w:val="000B4429"/>
    <w:rsid w:val="000C3C1B"/>
    <w:rsid w:val="000C6D85"/>
    <w:rsid w:val="000E015A"/>
    <w:rsid w:val="000E7E2D"/>
    <w:rsid w:val="000F7B8B"/>
    <w:rsid w:val="0011534C"/>
    <w:rsid w:val="001255B3"/>
    <w:rsid w:val="00143405"/>
    <w:rsid w:val="0014561C"/>
    <w:rsid w:val="00183154"/>
    <w:rsid w:val="00187FB9"/>
    <w:rsid w:val="001A32E0"/>
    <w:rsid w:val="001A6808"/>
    <w:rsid w:val="001C20C6"/>
    <w:rsid w:val="001C6394"/>
    <w:rsid w:val="001D7AD6"/>
    <w:rsid w:val="00202391"/>
    <w:rsid w:val="002077C4"/>
    <w:rsid w:val="00222F75"/>
    <w:rsid w:val="00226803"/>
    <w:rsid w:val="00227452"/>
    <w:rsid w:val="00235931"/>
    <w:rsid w:val="0024096E"/>
    <w:rsid w:val="00246C36"/>
    <w:rsid w:val="002530DE"/>
    <w:rsid w:val="0027181B"/>
    <w:rsid w:val="00272160"/>
    <w:rsid w:val="00277F8A"/>
    <w:rsid w:val="002871F1"/>
    <w:rsid w:val="00287990"/>
    <w:rsid w:val="002879C8"/>
    <w:rsid w:val="00297FF1"/>
    <w:rsid w:val="002A2866"/>
    <w:rsid w:val="002B5329"/>
    <w:rsid w:val="002D21E2"/>
    <w:rsid w:val="002D2CBA"/>
    <w:rsid w:val="002D550D"/>
    <w:rsid w:val="00301F37"/>
    <w:rsid w:val="00307849"/>
    <w:rsid w:val="00311833"/>
    <w:rsid w:val="0032590E"/>
    <w:rsid w:val="00343B48"/>
    <w:rsid w:val="00344454"/>
    <w:rsid w:val="00347C2A"/>
    <w:rsid w:val="003507E5"/>
    <w:rsid w:val="00362F52"/>
    <w:rsid w:val="003638D4"/>
    <w:rsid w:val="00367E7D"/>
    <w:rsid w:val="00372223"/>
    <w:rsid w:val="00374DF4"/>
    <w:rsid w:val="00377FCB"/>
    <w:rsid w:val="003A2AC4"/>
    <w:rsid w:val="003D4732"/>
    <w:rsid w:val="00415679"/>
    <w:rsid w:val="00427F8A"/>
    <w:rsid w:val="0043581E"/>
    <w:rsid w:val="0045459B"/>
    <w:rsid w:val="0047118B"/>
    <w:rsid w:val="00475B51"/>
    <w:rsid w:val="00485CAD"/>
    <w:rsid w:val="00491885"/>
    <w:rsid w:val="004A13D0"/>
    <w:rsid w:val="004B3FEB"/>
    <w:rsid w:val="004C0A51"/>
    <w:rsid w:val="004C48F2"/>
    <w:rsid w:val="004C4927"/>
    <w:rsid w:val="004D1386"/>
    <w:rsid w:val="004E0194"/>
    <w:rsid w:val="004F1628"/>
    <w:rsid w:val="004F35F6"/>
    <w:rsid w:val="00510115"/>
    <w:rsid w:val="00511F4A"/>
    <w:rsid w:val="0052473F"/>
    <w:rsid w:val="00525A6B"/>
    <w:rsid w:val="00540FE5"/>
    <w:rsid w:val="00542D40"/>
    <w:rsid w:val="00542EAD"/>
    <w:rsid w:val="005437F2"/>
    <w:rsid w:val="005456B9"/>
    <w:rsid w:val="0055418E"/>
    <w:rsid w:val="00570E34"/>
    <w:rsid w:val="00584C16"/>
    <w:rsid w:val="005A392F"/>
    <w:rsid w:val="005A7406"/>
    <w:rsid w:val="005B7B2E"/>
    <w:rsid w:val="005C06A4"/>
    <w:rsid w:val="005C30E3"/>
    <w:rsid w:val="005D6160"/>
    <w:rsid w:val="005D6587"/>
    <w:rsid w:val="005F013E"/>
    <w:rsid w:val="00620956"/>
    <w:rsid w:val="006239E6"/>
    <w:rsid w:val="0062454E"/>
    <w:rsid w:val="00654C92"/>
    <w:rsid w:val="006570F9"/>
    <w:rsid w:val="00672D51"/>
    <w:rsid w:val="00686052"/>
    <w:rsid w:val="00695323"/>
    <w:rsid w:val="00696E71"/>
    <w:rsid w:val="006E632B"/>
    <w:rsid w:val="006F04D0"/>
    <w:rsid w:val="007125ED"/>
    <w:rsid w:val="0074080E"/>
    <w:rsid w:val="00760FC5"/>
    <w:rsid w:val="007625DC"/>
    <w:rsid w:val="00793640"/>
    <w:rsid w:val="007D0602"/>
    <w:rsid w:val="007D67F0"/>
    <w:rsid w:val="007E1D51"/>
    <w:rsid w:val="008051D2"/>
    <w:rsid w:val="00805D7E"/>
    <w:rsid w:val="008123FD"/>
    <w:rsid w:val="00814D29"/>
    <w:rsid w:val="00827338"/>
    <w:rsid w:val="00835908"/>
    <w:rsid w:val="00842E27"/>
    <w:rsid w:val="00861D52"/>
    <w:rsid w:val="00873710"/>
    <w:rsid w:val="00874698"/>
    <w:rsid w:val="00875F71"/>
    <w:rsid w:val="008835D0"/>
    <w:rsid w:val="00883C4B"/>
    <w:rsid w:val="00884EB6"/>
    <w:rsid w:val="008A2E9B"/>
    <w:rsid w:val="008A5315"/>
    <w:rsid w:val="008D5F6E"/>
    <w:rsid w:val="008E4A89"/>
    <w:rsid w:val="008E77BA"/>
    <w:rsid w:val="009119DF"/>
    <w:rsid w:val="00915A67"/>
    <w:rsid w:val="009347E7"/>
    <w:rsid w:val="0094073C"/>
    <w:rsid w:val="00947EDF"/>
    <w:rsid w:val="009768EC"/>
    <w:rsid w:val="009A6516"/>
    <w:rsid w:val="009B23B8"/>
    <w:rsid w:val="009C51A6"/>
    <w:rsid w:val="009C5AE9"/>
    <w:rsid w:val="009E53D4"/>
    <w:rsid w:val="00A02F3B"/>
    <w:rsid w:val="00A37A4B"/>
    <w:rsid w:val="00A42085"/>
    <w:rsid w:val="00A71E7E"/>
    <w:rsid w:val="00A86FA8"/>
    <w:rsid w:val="00A95D40"/>
    <w:rsid w:val="00A96423"/>
    <w:rsid w:val="00AA14F1"/>
    <w:rsid w:val="00AB57DD"/>
    <w:rsid w:val="00AB6D71"/>
    <w:rsid w:val="00AD76A5"/>
    <w:rsid w:val="00AE3664"/>
    <w:rsid w:val="00B07098"/>
    <w:rsid w:val="00B0793C"/>
    <w:rsid w:val="00B247CC"/>
    <w:rsid w:val="00B2529A"/>
    <w:rsid w:val="00B2781B"/>
    <w:rsid w:val="00B46196"/>
    <w:rsid w:val="00B56D58"/>
    <w:rsid w:val="00B63018"/>
    <w:rsid w:val="00B64F9A"/>
    <w:rsid w:val="00B66466"/>
    <w:rsid w:val="00B7141C"/>
    <w:rsid w:val="00B8254D"/>
    <w:rsid w:val="00BA09D8"/>
    <w:rsid w:val="00BA1BDB"/>
    <w:rsid w:val="00BA2338"/>
    <w:rsid w:val="00BA7D9E"/>
    <w:rsid w:val="00BB0582"/>
    <w:rsid w:val="00BC427D"/>
    <w:rsid w:val="00BD59E1"/>
    <w:rsid w:val="00BF0F5F"/>
    <w:rsid w:val="00BF2AC1"/>
    <w:rsid w:val="00C10640"/>
    <w:rsid w:val="00C20F77"/>
    <w:rsid w:val="00C2301B"/>
    <w:rsid w:val="00C472F3"/>
    <w:rsid w:val="00C56F1A"/>
    <w:rsid w:val="00C73E13"/>
    <w:rsid w:val="00C7678D"/>
    <w:rsid w:val="00C77770"/>
    <w:rsid w:val="00C83976"/>
    <w:rsid w:val="00C9287F"/>
    <w:rsid w:val="00CB6ED5"/>
    <w:rsid w:val="00CC1255"/>
    <w:rsid w:val="00D14126"/>
    <w:rsid w:val="00D25112"/>
    <w:rsid w:val="00D32325"/>
    <w:rsid w:val="00D354B4"/>
    <w:rsid w:val="00D5155A"/>
    <w:rsid w:val="00D65B4B"/>
    <w:rsid w:val="00D72326"/>
    <w:rsid w:val="00D83C7A"/>
    <w:rsid w:val="00D93DCF"/>
    <w:rsid w:val="00D95C55"/>
    <w:rsid w:val="00DA06F6"/>
    <w:rsid w:val="00DD098F"/>
    <w:rsid w:val="00DD2390"/>
    <w:rsid w:val="00DD5F83"/>
    <w:rsid w:val="00DD7F5B"/>
    <w:rsid w:val="00DE23A9"/>
    <w:rsid w:val="00DE6609"/>
    <w:rsid w:val="00DE747F"/>
    <w:rsid w:val="00E007CE"/>
    <w:rsid w:val="00E10049"/>
    <w:rsid w:val="00E10A53"/>
    <w:rsid w:val="00E14EE0"/>
    <w:rsid w:val="00E20BAB"/>
    <w:rsid w:val="00E3061A"/>
    <w:rsid w:val="00E41D84"/>
    <w:rsid w:val="00E531E1"/>
    <w:rsid w:val="00E73215"/>
    <w:rsid w:val="00E94989"/>
    <w:rsid w:val="00EA3528"/>
    <w:rsid w:val="00EB011D"/>
    <w:rsid w:val="00ED2CC6"/>
    <w:rsid w:val="00EE0E4F"/>
    <w:rsid w:val="00EF1037"/>
    <w:rsid w:val="00F10A4C"/>
    <w:rsid w:val="00F13FE7"/>
    <w:rsid w:val="00F16958"/>
    <w:rsid w:val="00F35569"/>
    <w:rsid w:val="00F36573"/>
    <w:rsid w:val="00F51FF3"/>
    <w:rsid w:val="00F727C2"/>
    <w:rsid w:val="00F740C3"/>
    <w:rsid w:val="00F75BE0"/>
    <w:rsid w:val="00FA09EE"/>
    <w:rsid w:val="00FA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38D4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8D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Invitees1">
    <w:name w:val="Invitees 1"/>
    <w:basedOn w:val="Heading2"/>
    <w:next w:val="Normal"/>
    <w:rsid w:val="003638D4"/>
    <w:pPr>
      <w:keepLines w:val="0"/>
      <w:spacing w:before="24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customStyle="1" w:styleId="TypeofMeeting">
    <w:name w:val="Type of Meeting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3638D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rsid w:val="003638D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3638D4"/>
    <w:pPr>
      <w:spacing w:after="480"/>
    </w:pPr>
  </w:style>
  <w:style w:type="paragraph" w:customStyle="1" w:styleId="MeetingFacilitator">
    <w:name w:val="Meeting Facilitator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ListNumber2">
    <w:name w:val="List Number 2"/>
    <w:basedOn w:val="Normal"/>
    <w:rsid w:val="003638D4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3638D4"/>
    <w:pPr>
      <w:numPr>
        <w:numId w:val="2"/>
      </w:numPr>
      <w:spacing w:before="240"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638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DF"/>
  </w:style>
  <w:style w:type="paragraph" w:styleId="Footer">
    <w:name w:val="footer"/>
    <w:basedOn w:val="Normal"/>
    <w:link w:val="Foot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DF"/>
  </w:style>
  <w:style w:type="paragraph" w:styleId="ListParagraph">
    <w:name w:val="List Paragraph"/>
    <w:basedOn w:val="Normal"/>
    <w:uiPriority w:val="34"/>
    <w:qFormat/>
    <w:rsid w:val="008D5F6E"/>
    <w:pPr>
      <w:spacing w:after="160" w:line="259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AB57DD"/>
    <w:rPr>
      <w:color w:val="0000FF"/>
      <w:u w:val="single"/>
    </w:rPr>
  </w:style>
  <w:style w:type="table" w:styleId="TableGrid">
    <w:name w:val="Table Grid"/>
    <w:basedOn w:val="TableNormal"/>
    <w:uiPriority w:val="59"/>
    <w:rsid w:val="0024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2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B686-9770-448B-8D00-B9076E59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SWODA</dc:creator>
  <cp:lastModifiedBy>becky</cp:lastModifiedBy>
  <cp:revision>8</cp:revision>
  <cp:lastPrinted>2017-01-19T22:34:00Z</cp:lastPrinted>
  <dcterms:created xsi:type="dcterms:W3CDTF">2017-01-17T14:34:00Z</dcterms:created>
  <dcterms:modified xsi:type="dcterms:W3CDTF">2017-01-23T14:19:00Z</dcterms:modified>
</cp:coreProperties>
</file>