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12A7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Junta directiva</w:t>
      </w:r>
      <w:r w:rsidR="00774A2C" w:rsidRPr="00774A2C">
        <w:rPr>
          <w:rFonts w:ascii="Times New Roman" w:hAnsi="Times New Roman" w:cs="Times New Roman"/>
          <w:i w:val="0"/>
          <w:sz w:val="22"/>
          <w:szCs w:val="22"/>
        </w:rPr>
        <w:t> minutos</w:t>
      </w:r>
    </w:p>
    <w:p w:rsidR="001C0397" w:rsidRPr="00774A2C" w:rsidRDefault="001C0397" w:rsidP="001C0397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Febrero 23,</w:t>
      </w:r>
      <w:r w:rsidRPr="00774A2C">
        <w:rPr>
          <w:b/>
          <w:sz w:val="22"/>
          <w:szCs w:val="22"/>
        </w:rPr>
        <w:t> 2017</w:t>
      </w:r>
    </w:p>
    <w:p w:rsidR="001C0397" w:rsidRDefault="001C0397" w:rsidP="001C0397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10:30 a.m.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5418"/>
      </w:tblGrid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 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 xml:space="preserve">JDM Centro de </w:t>
            </w:r>
            <w:proofErr w:type="spellStart"/>
            <w:r w:rsidRPr="00C8300A">
              <w:rPr>
                <w:rFonts w:ascii="Times New Roman" w:hAnsi="Times New Roman" w:cs="Times New Roman"/>
                <w:b/>
              </w:rPr>
              <w:t>negocios</w:t>
            </w:r>
            <w:proofErr w:type="spellEnd"/>
            <w:r w:rsidRPr="00C8300A">
              <w:rPr>
                <w:rFonts w:ascii="Times New Roman" w:hAnsi="Times New Roman" w:cs="Times New Roman"/>
                <w:b/>
              </w:rPr>
              <w:t>, RM- B113</w:t>
            </w:r>
          </w:p>
        </w:tc>
      </w:tr>
      <w:tr w:rsidR="007B554F" w:rsidRPr="00C8300A" w:rsidTr="001C0397">
        <w:tc>
          <w:tcPr>
            <w:tcW w:w="487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41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1C0397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 Los miembros de la junta directiva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B011E1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Brent Almquist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7712A7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56456A" w:rsidP="007B0E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Debora Glasgow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D0A7E" w:rsidRPr="00C93831" w:rsidRDefault="00DD544D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Anita Archer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 Miller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56456A" w:rsidP="00771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Dale Bunn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Cendie Newman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7712A7" w:rsidTr="00B011E1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Kirk Butler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12A7" w:rsidRPr="004526EC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Lyle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Roggow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B011E1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Casida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Heather Sheppard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B011E1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Jerry Dean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Skiles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Jay Earp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1C2AF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Clark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Southards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8300A" w:rsidTr="0039366F">
        <w:tc>
          <w:tcPr>
            <w:tcW w:w="4122" w:type="dxa"/>
            <w:shd w:val="clear" w:color="auto" w:fill="FFFFFF" w:themeFill="background1"/>
            <w:vAlign w:val="center"/>
          </w:tcPr>
          <w:p w:rsidR="00C8300A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Marilyn Feaver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Bill Spurlock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00A" w:rsidRPr="00C93831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Shawn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Freie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Larry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Thoma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DD544D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7712A7" w:rsidTr="0039366F">
        <w:tc>
          <w:tcPr>
            <w:tcW w:w="4122" w:type="dxa"/>
            <w:shd w:val="clear" w:color="auto" w:fill="FFFFFF" w:themeFill="background1"/>
            <w:vAlign w:val="center"/>
          </w:tcPr>
          <w:p w:rsidR="007712A7" w:rsidRDefault="007712A7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Galloway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7712A7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Tom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Zigler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12A7" w:rsidRDefault="0056456A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</w:tbl>
    <w:p w:rsidR="00822861" w:rsidRDefault="00822861" w:rsidP="009B0219">
      <w:pPr>
        <w:spacing w:after="0"/>
      </w:pPr>
    </w:p>
    <w:p w:rsidR="00822861" w:rsidRDefault="00822861" w:rsidP="009B0219">
      <w:pPr>
        <w:spacing w:after="0"/>
      </w:pPr>
    </w:p>
    <w:p w:rsidR="00816A4B" w:rsidRDefault="009B0219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774A2C" w:rsidRDefault="00816A4B" w:rsidP="00816A4B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 </w:t>
      </w:r>
      <w:r w:rsidR="006760F5">
        <w:rPr>
          <w:rFonts w:ascii="Times New Roman" w:hAnsi="Times New Roman" w:cs="Times New Roman"/>
        </w:rPr>
        <w:t>Reunión convocó a las 10:40 a.m. por el Presidente Lyle Miller.  </w:t>
      </w:r>
    </w:p>
    <w:p w:rsidR="0070406F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487764">
        <w:rPr>
          <w:rFonts w:ascii="Times New Roman" w:hAnsi="Times New Roman" w:cs="Times New Roman"/>
          <w:u w:val="single"/>
        </w:rPr>
        <w:t>Nominal: Presentaciones: </w:t>
      </w: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487764" w:rsidRDefault="00487764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B25F0">
        <w:rPr>
          <w:rFonts w:ascii="Times New Roman" w:hAnsi="Times New Roman" w:cs="Times New Roman"/>
        </w:rPr>
        <w:t>Por Becky Cockrell-declaró quórum</w:t>
      </w:r>
    </w:p>
    <w:p w:rsidR="00487764" w:rsidRPr="00487764" w:rsidRDefault="00487764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7764" w:rsidRDefault="00162826" w:rsidP="00487764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487764" w:rsidRDefault="00487764" w:rsidP="00487764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DF2E49" w:rsidRDefault="00487764" w:rsidP="00ED6F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6DE9">
        <w:rPr>
          <w:rFonts w:ascii="Times New Roman" w:hAnsi="Times New Roman" w:cs="Times New Roman"/>
        </w:rPr>
        <w:t>El acta de la reunión de 26 de enero de 2017 se discutieron. La moción fue realizada por Clark Southard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secundado</w:t>
      </w:r>
      <w:r w:rsidR="00142204" w:rsidRPr="00D22DB3">
        <w:rPr>
          <w:rFonts w:ascii="Times New Roman" w:hAnsi="Times New Roman" w:cs="Times New Roman"/>
        </w:rPr>
        <w:t> por </w:t>
      </w:r>
      <w:r w:rsidR="006760F5">
        <w:rPr>
          <w:rFonts w:ascii="Times New Roman" w:hAnsi="Times New Roman" w:cs="Times New Roman"/>
        </w:rPr>
        <w:t>Bill Spurlock,</w:t>
      </w:r>
      <w:r w:rsidR="00822861">
        <w:rPr>
          <w:rFonts w:ascii="Times New Roman" w:hAnsi="Times New Roman" w:cs="Times New Roman"/>
        </w:rPr>
        <w:t> moción aprobada. </w:t>
      </w:r>
    </w:p>
    <w:p w:rsidR="00EC2553" w:rsidRPr="00B011E1" w:rsidRDefault="00ED6FC3" w:rsidP="00DD544D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0CA" w:rsidRDefault="00AE590C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4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F160CA">
        <w:rPr>
          <w:rFonts w:ascii="Times New Roman" w:eastAsia="Calibri" w:hAnsi="Times New Roman" w:cs="Times New Roman"/>
          <w:sz w:val="24"/>
          <w:szCs w:val="24"/>
          <w:u w:val="single"/>
        </w:rPr>
        <w:t>Discutir </w:t>
      </w:r>
      <w:r w:rsidR="00ED6FC3">
        <w:rPr>
          <w:rFonts w:ascii="Times New Roman" w:eastAsia="Calibri" w:hAnsi="Times New Roman" w:cs="Times New Roman"/>
          <w:sz w:val="24"/>
          <w:szCs w:val="24"/>
          <w:u w:val="single"/>
        </w:rPr>
        <w:t>y considerar la información contenida en el cuadro 1 SORTPO temas y formular recomendaciones para el personal. </w:t>
      </w:r>
    </w:p>
    <w:p w:rsidR="00ED6FC3" w:rsidRDefault="00ED6FC3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D6FC3" w:rsidRDefault="00ED6FC3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Julie Sanders analizó la Tabla 1 SORTPO temas acerca de la matrícula escolar, la población y las previsiones de empleo para el algodón, Greer Harmon, Jackson, Jefferson, Stephens y Tillman condados.</w:t>
      </w:r>
      <w:r w:rsidR="00913D71">
        <w:rPr>
          <w:rFonts w:ascii="Times New Roman" w:eastAsia="Calibri" w:hAnsi="Times New Roman" w:cs="Times New Roman"/>
          <w:sz w:val="24"/>
          <w:szCs w:val="24"/>
        </w:rPr>
        <w:t> ver archivos adjuntos. Steve Kelly actualiza la reunión de partes interesadas </w:t>
      </w:r>
      <w:r w:rsidR="0001476B">
        <w:rPr>
          <w:rFonts w:ascii="Times New Roman" w:eastAsia="Calibri" w:hAnsi="Times New Roman" w:cs="Times New Roman"/>
          <w:sz w:val="24"/>
          <w:szCs w:val="24"/>
        </w:rPr>
        <w:t xml:space="preserve">para el </w:t>
      </w:r>
      <w:r w:rsidR="0001476B">
        <w:rPr>
          <w:rFonts w:ascii="Times New Roman" w:eastAsia="Calibri" w:hAnsi="Times New Roman" w:cs="Times New Roman"/>
          <w:sz w:val="24"/>
          <w:szCs w:val="24"/>
        </w:rPr>
        <w:lastRenderedPageBreak/>
        <w:t>condado de algodón (17 asistentes)</w:t>
      </w:r>
      <w:r w:rsidR="00446DE9">
        <w:rPr>
          <w:rFonts w:ascii="Times New Roman" w:eastAsia="Calibri" w:hAnsi="Times New Roman" w:cs="Times New Roman"/>
          <w:sz w:val="24"/>
          <w:szCs w:val="24"/>
        </w:rPr>
        <w:t> Tillman County (21 asistentes), </w:t>
      </w:r>
      <w:r w:rsidR="0001476B">
        <w:rPr>
          <w:rFonts w:ascii="Times New Roman" w:eastAsia="Calibri" w:hAnsi="Times New Roman" w:cs="Times New Roman"/>
          <w:sz w:val="24"/>
          <w:szCs w:val="24"/>
        </w:rPr>
        <w:t>celebrada el 15 de febrero de 2017. Steve</w:t>
      </w:r>
      <w:r w:rsidR="00446DE9">
        <w:rPr>
          <w:rFonts w:ascii="Times New Roman" w:eastAsia="Calibri" w:hAnsi="Times New Roman" w:cs="Times New Roman"/>
          <w:sz w:val="24"/>
          <w:szCs w:val="24"/>
        </w:rPr>
        <w:t> Kelly comentó que ha</w:t>
      </w:r>
      <w:r w:rsidR="0001476B">
        <w:rPr>
          <w:rFonts w:ascii="Times New Roman" w:eastAsia="Calibri" w:hAnsi="Times New Roman" w:cs="Times New Roman"/>
          <w:sz w:val="24"/>
          <w:szCs w:val="24"/>
        </w:rPr>
        <w:t> recopilado datos sobre el movimiento de mercancías. La próxima reunión de interesados está programada para el 21 de febrero, 2017 para el condado de Jefferson y Stephens.</w:t>
      </w:r>
    </w:p>
    <w:p w:rsidR="0001476B" w:rsidRDefault="0001476B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76B" w:rsidRPr="00ED6FC3" w:rsidRDefault="0001476B" w:rsidP="00DD544D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Becky Cockrell informó sobre</w:t>
      </w:r>
      <w:r w:rsidR="00446DE9">
        <w:rPr>
          <w:rFonts w:ascii="Times New Roman" w:eastAsia="Calibri" w:hAnsi="Times New Roman" w:cs="Times New Roman"/>
          <w:sz w:val="24"/>
          <w:szCs w:val="24"/>
        </w:rPr>
        <w:t> las</w:t>
      </w:r>
      <w:r>
        <w:rPr>
          <w:rFonts w:ascii="Times New Roman" w:eastAsia="Calibri" w:hAnsi="Times New Roman" w:cs="Times New Roman"/>
          <w:sz w:val="24"/>
          <w:szCs w:val="24"/>
        </w:rPr>
        <w:t> reuniones de los interesados para el condado de Greer (5 asistentes) y Harmon County (3 asistentes). El Condado de Jackson está programado para el 7 de marzo de 2017 a las 10:00 de la mañana en la</w:t>
      </w:r>
      <w:r w:rsidR="00446DE9">
        <w:rPr>
          <w:rFonts w:ascii="Times New Roman" w:eastAsia="Calibri" w:hAnsi="Times New Roman" w:cs="Times New Roman"/>
          <w:sz w:val="24"/>
          <w:szCs w:val="24"/>
        </w:rPr>
        <w:t> Cámara de Comercio de Altus. </w:t>
      </w:r>
    </w:p>
    <w:p w:rsidR="0070406F" w:rsidRDefault="004D6371" w:rsidP="007051D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4C2ED8">
        <w:rPr>
          <w:rFonts w:ascii="Times New Roman" w:hAnsi="Times New Roman"/>
          <w:sz w:val="24"/>
          <w:szCs w:val="24"/>
        </w:rPr>
        <w:tab/>
      </w:r>
    </w:p>
    <w:p w:rsidR="00957D3A" w:rsidRDefault="00AE590C" w:rsidP="008A335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5.   </w:t>
      </w:r>
      <w:r w:rsidR="00FD68F8" w:rsidRPr="008A335A">
        <w:rPr>
          <w:rFonts w:ascii="Times New Roman" w:hAnsi="Times New Roman"/>
          <w:sz w:val="24"/>
          <w:szCs w:val="24"/>
          <w:u w:val="single"/>
        </w:rPr>
        <w:t>Nuevas oportunidades de negocio: </w:t>
      </w:r>
    </w:p>
    <w:p w:rsidR="008A335A" w:rsidRDefault="008A335A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A335A" w:rsidRDefault="00804A53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Ninguno en </w:t>
      </w:r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gramEnd"/>
      <w:r>
        <w:rPr>
          <w:rFonts w:ascii="Times New Roman" w:hAnsi="Times New Roman"/>
          <w:sz w:val="24"/>
          <w:szCs w:val="24"/>
        </w:rPr>
        <w:t xml:space="preserve"> momento.</w:t>
      </w:r>
    </w:p>
    <w:p w:rsidR="00CE19D4" w:rsidRDefault="00CE19D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A4866" w:rsidRDefault="00AE590C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6.   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 </w:t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6FC3" w:rsidRDefault="00ED6FC3" w:rsidP="007051D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  <w:t>Julie Sanders pidió que la Junta Directiva técnica y distribuir encuestas a las comunidades y a los principales empleadores.</w:t>
      </w:r>
      <w:r w:rsidR="0001476B">
        <w:rPr>
          <w:rFonts w:ascii="Times New Roman" w:hAnsi="Times New Roman"/>
          <w:sz w:val="24"/>
          <w:szCs w:val="24"/>
        </w:rPr>
        <w:t> Clark Southard habló acerca de una reunión a la que asistió, donde hubo un debate acerca de un giro pike que se conecta con la I-35 y la I-40 West. </w:t>
      </w:r>
    </w:p>
    <w:p w:rsidR="00A64DB9" w:rsidRPr="00DD544D" w:rsidRDefault="00A64DB9" w:rsidP="00DD54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A335A" w:rsidRDefault="00AE590C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506D9F">
        <w:rPr>
          <w:rFonts w:ascii="Times New Roman" w:hAnsi="Times New Roman" w:cs="Times New Roman"/>
        </w:rPr>
        <w:t>.  </w:t>
      </w:r>
      <w:r w:rsidR="00FA4866">
        <w:rPr>
          <w:rFonts w:ascii="Times New Roman" w:hAnsi="Times New Roman" w:cs="Times New Roman"/>
        </w:rPr>
        <w:t> </w:t>
      </w:r>
      <w:r w:rsidR="008A335A">
        <w:rPr>
          <w:rFonts w:ascii="Times New Roman" w:hAnsi="Times New Roman" w:cs="Times New Roman"/>
        </w:rPr>
        <w:tab/>
      </w:r>
      <w:r w:rsidR="00804A53">
        <w:rPr>
          <w:rFonts w:ascii="Times New Roman" w:hAnsi="Times New Roman" w:cs="Times New Roman"/>
          <w:u w:val="single"/>
        </w:rPr>
        <w:t>Levantar:</w:t>
      </w:r>
    </w:p>
    <w:p w:rsidR="008A335A" w:rsidRPr="008A335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7B6A3A" w:rsidRDefault="008A335A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544D">
        <w:rPr>
          <w:rFonts w:ascii="Times New Roman" w:hAnsi="Times New Roman" w:cs="Times New Roman"/>
        </w:rPr>
        <w:t>Jerry Dean</w:t>
      </w:r>
      <w:r w:rsidR="007B6A3A">
        <w:rPr>
          <w:rFonts w:ascii="Times New Roman" w:hAnsi="Times New Roman" w:cs="Times New Roman"/>
        </w:rPr>
        <w:t> propuso que se aplazara, Bill Spurlock apoyada.</w:t>
      </w:r>
    </w:p>
    <w:p w:rsidR="007B6A3A" w:rsidRPr="007B6A3A" w:rsidRDefault="007B6A3A" w:rsidP="007B6A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406F" w:rsidRDefault="007040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51996" w:rsidRPr="00B809F4" w:rsidRDefault="00AA57B5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> </w:t>
      </w:r>
      <w:r w:rsidR="00451996" w:rsidRPr="00B809F4">
        <w:rPr>
          <w:rFonts w:ascii="Times New Roman" w:hAnsi="Times New Roman" w:cs="Times New Roman"/>
        </w:rPr>
        <w:t>Fe:</w:t>
      </w:r>
    </w:p>
    <w:p w:rsidR="00451996" w:rsidRPr="00B809F4" w:rsidRDefault="00451996" w:rsidP="0045199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09F4">
        <w:rPr>
          <w:rFonts w:ascii="Times New Roman" w:hAnsi="Times New Roman" w:cs="Times New Roman"/>
        </w:rPr>
        <w:t>___________________________</w:t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</w:r>
      <w:r w:rsidRPr="00B809F4">
        <w:rPr>
          <w:rFonts w:ascii="Times New Roman" w:hAnsi="Times New Roman" w:cs="Times New Roman"/>
        </w:rPr>
        <w:tab/>
        <w:t>_________________________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B809F4">
        <w:rPr>
          <w:rFonts w:ascii="Times New Roman" w:hAnsi="Times New Roman" w:cs="Times New Roman"/>
          <w:bCs/>
        </w:rPr>
        <w:t>(Presidente)</w:t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</w:r>
      <w:r w:rsidRPr="00B809F4">
        <w:rPr>
          <w:rFonts w:ascii="Times New Roman" w:hAnsi="Times New Roman" w:cs="Times New Roman"/>
          <w:bCs/>
        </w:rPr>
        <w:tab/>
        <w:t>(Secretario)</w:t>
      </w:r>
    </w:p>
    <w:p w:rsidR="00451996" w:rsidRPr="00B809F4" w:rsidRDefault="00451996" w:rsidP="004519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7176" w:rsidRPr="00DF2E49" w:rsidRDefault="000B7176" w:rsidP="0070406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sectPr w:rsidR="000B7176" w:rsidRPr="00DF2E49" w:rsidSect="00B01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71" w:rsidRDefault="00913D71" w:rsidP="00162826">
      <w:pPr>
        <w:spacing w:after="0" w:line="240" w:lineRule="auto"/>
      </w:pPr>
      <w:r>
        <w:separator/>
      </w:r>
    </w:p>
  </w:endnote>
  <w:endnote w:type="continuationSeparator" w:id="0">
    <w:p w:rsidR="00913D71" w:rsidRDefault="00913D71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71" w:rsidRDefault="00913D7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913D71" w:rsidRPr="00D47FB6" w:rsidRDefault="0037146E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Febrero 23, 2017</w:t>
    </w:r>
  </w:p>
  <w:p w:rsidR="00913D71" w:rsidRDefault="00913D71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913D71" w:rsidRDefault="00913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71" w:rsidRDefault="00913D71" w:rsidP="00162826">
      <w:pPr>
        <w:spacing w:after="0" w:line="240" w:lineRule="auto"/>
      </w:pPr>
      <w:r>
        <w:separator/>
      </w:r>
    </w:p>
  </w:footnote>
  <w:footnote w:type="continuationSeparator" w:id="0">
    <w:p w:rsidR="00913D71" w:rsidRDefault="00913D71" w:rsidP="0016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A1" w:rsidRDefault="00743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834760"/>
    <w:multiLevelType w:val="hybridMultilevel"/>
    <w:tmpl w:val="AADC3D7E"/>
    <w:lvl w:ilvl="0" w:tplc="3120E0F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AC2"/>
    <w:multiLevelType w:val="hybridMultilevel"/>
    <w:tmpl w:val="810C3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1476B"/>
    <w:rsid w:val="000262EC"/>
    <w:rsid w:val="000266A4"/>
    <w:rsid w:val="000366FE"/>
    <w:rsid w:val="00036D53"/>
    <w:rsid w:val="00054B4A"/>
    <w:rsid w:val="00064DBB"/>
    <w:rsid w:val="00065085"/>
    <w:rsid w:val="00065BBB"/>
    <w:rsid w:val="00065D94"/>
    <w:rsid w:val="000705BF"/>
    <w:rsid w:val="0007611A"/>
    <w:rsid w:val="00090B62"/>
    <w:rsid w:val="000A5094"/>
    <w:rsid w:val="000A5A2F"/>
    <w:rsid w:val="000B7176"/>
    <w:rsid w:val="000C50CF"/>
    <w:rsid w:val="00131A9C"/>
    <w:rsid w:val="001356C9"/>
    <w:rsid w:val="00142204"/>
    <w:rsid w:val="00162826"/>
    <w:rsid w:val="00170E73"/>
    <w:rsid w:val="001A0122"/>
    <w:rsid w:val="001B31A3"/>
    <w:rsid w:val="001B7F58"/>
    <w:rsid w:val="001C0397"/>
    <w:rsid w:val="001C0A29"/>
    <w:rsid w:val="001C2AFA"/>
    <w:rsid w:val="001C6DDC"/>
    <w:rsid w:val="00207335"/>
    <w:rsid w:val="00211010"/>
    <w:rsid w:val="00212A32"/>
    <w:rsid w:val="00237357"/>
    <w:rsid w:val="00274847"/>
    <w:rsid w:val="002973F6"/>
    <w:rsid w:val="002A1190"/>
    <w:rsid w:val="002A50C7"/>
    <w:rsid w:val="002A6CE5"/>
    <w:rsid w:val="002B3246"/>
    <w:rsid w:val="002D4BCC"/>
    <w:rsid w:val="002D5353"/>
    <w:rsid w:val="003101A4"/>
    <w:rsid w:val="00312890"/>
    <w:rsid w:val="00313971"/>
    <w:rsid w:val="003159D3"/>
    <w:rsid w:val="003234FB"/>
    <w:rsid w:val="00326209"/>
    <w:rsid w:val="00360428"/>
    <w:rsid w:val="0037146E"/>
    <w:rsid w:val="00376E10"/>
    <w:rsid w:val="0039227C"/>
    <w:rsid w:val="0039366F"/>
    <w:rsid w:val="003A154B"/>
    <w:rsid w:val="003A5E79"/>
    <w:rsid w:val="003D3010"/>
    <w:rsid w:val="003D7405"/>
    <w:rsid w:val="003E79EC"/>
    <w:rsid w:val="003F1158"/>
    <w:rsid w:val="00422822"/>
    <w:rsid w:val="00446DE9"/>
    <w:rsid w:val="00451996"/>
    <w:rsid w:val="00480CD1"/>
    <w:rsid w:val="00487764"/>
    <w:rsid w:val="004963C8"/>
    <w:rsid w:val="004B0BA3"/>
    <w:rsid w:val="004C0D6A"/>
    <w:rsid w:val="004C11D6"/>
    <w:rsid w:val="004C2ED8"/>
    <w:rsid w:val="004C4C3B"/>
    <w:rsid w:val="004D6371"/>
    <w:rsid w:val="00506D9F"/>
    <w:rsid w:val="005126B2"/>
    <w:rsid w:val="00534B76"/>
    <w:rsid w:val="0053690F"/>
    <w:rsid w:val="00540180"/>
    <w:rsid w:val="00553165"/>
    <w:rsid w:val="0056456A"/>
    <w:rsid w:val="005700CD"/>
    <w:rsid w:val="005C0411"/>
    <w:rsid w:val="005C604D"/>
    <w:rsid w:val="005C7307"/>
    <w:rsid w:val="005D0AAB"/>
    <w:rsid w:val="005E2CAE"/>
    <w:rsid w:val="005E6D8B"/>
    <w:rsid w:val="005F54BD"/>
    <w:rsid w:val="00605945"/>
    <w:rsid w:val="006139D3"/>
    <w:rsid w:val="00635556"/>
    <w:rsid w:val="00644EBC"/>
    <w:rsid w:val="00644EF3"/>
    <w:rsid w:val="00661526"/>
    <w:rsid w:val="00667AB8"/>
    <w:rsid w:val="006760F5"/>
    <w:rsid w:val="006958F3"/>
    <w:rsid w:val="00697F4C"/>
    <w:rsid w:val="006A1E07"/>
    <w:rsid w:val="006A656B"/>
    <w:rsid w:val="006B62D2"/>
    <w:rsid w:val="006C01D3"/>
    <w:rsid w:val="006C1775"/>
    <w:rsid w:val="006D648C"/>
    <w:rsid w:val="006E28B3"/>
    <w:rsid w:val="006E6363"/>
    <w:rsid w:val="006F29A7"/>
    <w:rsid w:val="006F42B2"/>
    <w:rsid w:val="0070406F"/>
    <w:rsid w:val="007051DE"/>
    <w:rsid w:val="00743AA1"/>
    <w:rsid w:val="0076783A"/>
    <w:rsid w:val="007712A7"/>
    <w:rsid w:val="00774A2C"/>
    <w:rsid w:val="007861EA"/>
    <w:rsid w:val="00793AC5"/>
    <w:rsid w:val="007B0EB0"/>
    <w:rsid w:val="007B4727"/>
    <w:rsid w:val="007B554F"/>
    <w:rsid w:val="007B6A3A"/>
    <w:rsid w:val="007E69FF"/>
    <w:rsid w:val="007F7F52"/>
    <w:rsid w:val="00804A53"/>
    <w:rsid w:val="00816A4B"/>
    <w:rsid w:val="00822861"/>
    <w:rsid w:val="008350E0"/>
    <w:rsid w:val="00865235"/>
    <w:rsid w:val="00880A37"/>
    <w:rsid w:val="00885F29"/>
    <w:rsid w:val="008A335A"/>
    <w:rsid w:val="008A4583"/>
    <w:rsid w:val="008E030A"/>
    <w:rsid w:val="008E3FA3"/>
    <w:rsid w:val="008E6005"/>
    <w:rsid w:val="008F1538"/>
    <w:rsid w:val="008F416B"/>
    <w:rsid w:val="00905F26"/>
    <w:rsid w:val="0090620A"/>
    <w:rsid w:val="00906566"/>
    <w:rsid w:val="00913D71"/>
    <w:rsid w:val="00915B02"/>
    <w:rsid w:val="00916EFE"/>
    <w:rsid w:val="00922237"/>
    <w:rsid w:val="00930CEE"/>
    <w:rsid w:val="00942C6A"/>
    <w:rsid w:val="009560E7"/>
    <w:rsid w:val="00957D3A"/>
    <w:rsid w:val="00974590"/>
    <w:rsid w:val="00982FFD"/>
    <w:rsid w:val="009A50B0"/>
    <w:rsid w:val="009B0219"/>
    <w:rsid w:val="009B2747"/>
    <w:rsid w:val="009D073E"/>
    <w:rsid w:val="009D6851"/>
    <w:rsid w:val="009F0834"/>
    <w:rsid w:val="009F580B"/>
    <w:rsid w:val="009F79CA"/>
    <w:rsid w:val="00A0065F"/>
    <w:rsid w:val="00A06A34"/>
    <w:rsid w:val="00A077FB"/>
    <w:rsid w:val="00A07A1F"/>
    <w:rsid w:val="00A53162"/>
    <w:rsid w:val="00A64DB9"/>
    <w:rsid w:val="00A66EE4"/>
    <w:rsid w:val="00A806A9"/>
    <w:rsid w:val="00A93468"/>
    <w:rsid w:val="00AA57B5"/>
    <w:rsid w:val="00AB2D2B"/>
    <w:rsid w:val="00AB42E7"/>
    <w:rsid w:val="00AE46EF"/>
    <w:rsid w:val="00AE590C"/>
    <w:rsid w:val="00AF7AEE"/>
    <w:rsid w:val="00B011E1"/>
    <w:rsid w:val="00B03924"/>
    <w:rsid w:val="00B15AC3"/>
    <w:rsid w:val="00B22971"/>
    <w:rsid w:val="00B44A0E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F5CEF"/>
    <w:rsid w:val="00C102A0"/>
    <w:rsid w:val="00C24626"/>
    <w:rsid w:val="00C4109D"/>
    <w:rsid w:val="00C61925"/>
    <w:rsid w:val="00C668BC"/>
    <w:rsid w:val="00C76E9E"/>
    <w:rsid w:val="00C81135"/>
    <w:rsid w:val="00C8300A"/>
    <w:rsid w:val="00C831C7"/>
    <w:rsid w:val="00C93831"/>
    <w:rsid w:val="00C971DF"/>
    <w:rsid w:val="00CA50E7"/>
    <w:rsid w:val="00CE19D4"/>
    <w:rsid w:val="00CE31F0"/>
    <w:rsid w:val="00D05E1F"/>
    <w:rsid w:val="00D122BF"/>
    <w:rsid w:val="00D17605"/>
    <w:rsid w:val="00D22DB3"/>
    <w:rsid w:val="00D334AE"/>
    <w:rsid w:val="00D45577"/>
    <w:rsid w:val="00D47049"/>
    <w:rsid w:val="00D63FE6"/>
    <w:rsid w:val="00D7007C"/>
    <w:rsid w:val="00D7777F"/>
    <w:rsid w:val="00D946D3"/>
    <w:rsid w:val="00D95BF8"/>
    <w:rsid w:val="00DB7FF6"/>
    <w:rsid w:val="00DC05BA"/>
    <w:rsid w:val="00DC3825"/>
    <w:rsid w:val="00DC560B"/>
    <w:rsid w:val="00DD0A7E"/>
    <w:rsid w:val="00DD1F10"/>
    <w:rsid w:val="00DD544D"/>
    <w:rsid w:val="00DE020D"/>
    <w:rsid w:val="00DF00D0"/>
    <w:rsid w:val="00DF2E49"/>
    <w:rsid w:val="00E0370B"/>
    <w:rsid w:val="00E13551"/>
    <w:rsid w:val="00E1429B"/>
    <w:rsid w:val="00E2053E"/>
    <w:rsid w:val="00E26D59"/>
    <w:rsid w:val="00E37282"/>
    <w:rsid w:val="00E51D20"/>
    <w:rsid w:val="00E54E82"/>
    <w:rsid w:val="00E651C3"/>
    <w:rsid w:val="00E8032E"/>
    <w:rsid w:val="00EB23F2"/>
    <w:rsid w:val="00EB4730"/>
    <w:rsid w:val="00EC2553"/>
    <w:rsid w:val="00EC33DB"/>
    <w:rsid w:val="00ED1420"/>
    <w:rsid w:val="00ED6FC3"/>
    <w:rsid w:val="00EE0B49"/>
    <w:rsid w:val="00F0039C"/>
    <w:rsid w:val="00F023AD"/>
    <w:rsid w:val="00F13589"/>
    <w:rsid w:val="00F160CA"/>
    <w:rsid w:val="00F342FD"/>
    <w:rsid w:val="00F37B88"/>
    <w:rsid w:val="00F42F8D"/>
    <w:rsid w:val="00F708A7"/>
    <w:rsid w:val="00F713D1"/>
    <w:rsid w:val="00F72CAE"/>
    <w:rsid w:val="00F92633"/>
    <w:rsid w:val="00FA4866"/>
    <w:rsid w:val="00FC5A80"/>
    <w:rsid w:val="00FD68F8"/>
    <w:rsid w:val="00FE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BDB9-08CC-4E17-B5BA-EEED3110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2144</Characters>
  <Application>Microsoft Office Word</Application>
  <DocSecurity>0</DocSecurity>
  <Lines>126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2017-03-23T14:32:00Z</cp:lastPrinted>
  <dcterms:created xsi:type="dcterms:W3CDTF">2017-04-24T16:47:00Z</dcterms:created>
  <dcterms:modified xsi:type="dcterms:W3CDTF">2017-04-24T16:47:00Z</dcterms:modified>
</cp:coreProperties>
</file>